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C22B" w14:textId="77777777" w:rsidR="00584776" w:rsidRDefault="004C6691">
      <w:pPr>
        <w:pStyle w:val="Heading2"/>
        <w:spacing w:before="0" w:after="0"/>
        <w:rPr>
          <w:sz w:val="38"/>
          <w:szCs w:val="38"/>
        </w:rPr>
      </w:pPr>
      <w:bookmarkStart w:id="0" w:name="_19utdbcmfgbb" w:colFirst="0" w:colLast="0"/>
      <w:bookmarkEnd w:id="0"/>
      <w:r>
        <w:t xml:space="preserve">Participatory Governance Council (PGC) and Standing Committees </w:t>
      </w:r>
    </w:p>
    <w:p w14:paraId="2C9FC22C" w14:textId="77777777" w:rsidR="00584776" w:rsidRDefault="004C6691">
      <w:pPr>
        <w:pStyle w:val="Heading2"/>
        <w:spacing w:before="0" w:after="200"/>
        <w:rPr>
          <w:i/>
        </w:rPr>
      </w:pPr>
      <w:bookmarkStart w:id="1" w:name="_ggwxouucjl4j" w:colFirst="0" w:colLast="0"/>
      <w:bookmarkEnd w:id="1"/>
      <w:r>
        <w:t>Objectives for 202</w:t>
      </w:r>
      <w:r>
        <w:t>1</w:t>
      </w:r>
      <w:r>
        <w:t>-202</w:t>
      </w:r>
      <w:r>
        <w:t>2</w:t>
      </w:r>
      <w:r>
        <w:t xml:space="preserve"> </w:t>
      </w:r>
      <w:r>
        <w:rPr>
          <w:i/>
        </w:rPr>
        <w:t xml:space="preserve">with </w:t>
      </w:r>
      <w:r>
        <w:rPr>
          <w:i/>
        </w:rPr>
        <w:t>updates (Fall 2022)</w:t>
      </w:r>
    </w:p>
    <w:p w14:paraId="2C9FC22D" w14:textId="77777777" w:rsidR="00584776" w:rsidRDefault="004C6691">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 xml:space="preserve">Introduction:  PGC established principles and expectations </w:t>
      </w:r>
      <w:r>
        <w:rPr>
          <w:rFonts w:ascii="Calibri" w:eastAsia="Calibri" w:hAnsi="Calibri" w:cs="Calibri"/>
          <w:sz w:val="21"/>
          <w:szCs w:val="21"/>
        </w:rPr>
        <w:t>to address key areas identified for improvement based on participatory governance evaluation results.</w:t>
      </w:r>
      <w:r>
        <w:rPr>
          <w:rFonts w:ascii="Calibri" w:eastAsia="Calibri" w:hAnsi="Calibri" w:cs="Calibri"/>
          <w:sz w:val="21"/>
          <w:szCs w:val="21"/>
          <w:vertAlign w:val="superscript"/>
        </w:rPr>
        <w:footnoteReference w:id="1"/>
      </w:r>
      <w:r>
        <w:rPr>
          <w:rFonts w:ascii="Calibri" w:eastAsia="Calibri" w:hAnsi="Calibri" w:cs="Calibri"/>
          <w:sz w:val="21"/>
          <w:szCs w:val="21"/>
        </w:rPr>
        <w:t xml:space="preserve">  These include (a) receive objectives from each Standing Committee to promote shared expectations about work of the Committees, (b) ensure each Standing</w:t>
      </w:r>
      <w:r>
        <w:rPr>
          <w:rFonts w:ascii="Calibri" w:eastAsia="Calibri" w:hAnsi="Calibri" w:cs="Calibri"/>
          <w:sz w:val="21"/>
          <w:szCs w:val="21"/>
        </w:rPr>
        <w:t xml:space="preserve"> Committee reports to PGC at least once per semester, and (c) request that all Standing Committee reports and any recommendations for action include information about discussions and constituent perspectives to improve communication and to provide addition</w:t>
      </w:r>
      <w:r>
        <w:rPr>
          <w:rFonts w:ascii="Calibri" w:eastAsia="Calibri" w:hAnsi="Calibri" w:cs="Calibri"/>
          <w:sz w:val="21"/>
          <w:szCs w:val="21"/>
        </w:rPr>
        <w:t>al context for recommendations.</w:t>
      </w:r>
      <w:r>
        <w:rPr>
          <w:rFonts w:ascii="Calibri" w:eastAsia="Calibri" w:hAnsi="Calibri" w:cs="Calibri"/>
          <w:sz w:val="21"/>
          <w:szCs w:val="21"/>
          <w:vertAlign w:val="superscript"/>
        </w:rPr>
        <w:footnoteReference w:id="2"/>
      </w:r>
    </w:p>
    <w:p w14:paraId="2C9FC22E" w14:textId="77777777" w:rsidR="00584776" w:rsidRDefault="00584776"/>
    <w:tbl>
      <w:tblPr>
        <w:tblStyle w:val="a"/>
        <w:tblW w:w="14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676"/>
        <w:gridCol w:w="2706"/>
        <w:gridCol w:w="3810"/>
        <w:gridCol w:w="4920"/>
      </w:tblGrid>
      <w:tr w:rsidR="00584776" w14:paraId="2C9FC235" w14:textId="77777777" w:rsidTr="004C6691">
        <w:trPr>
          <w:trHeight w:val="1245"/>
          <w:tblHeader/>
        </w:trPr>
        <w:tc>
          <w:tcPr>
            <w:tcW w:w="2676" w:type="dxa"/>
            <w:shd w:val="clear" w:color="auto" w:fill="auto"/>
            <w:tcMar>
              <w:top w:w="100" w:type="dxa"/>
              <w:left w:w="100" w:type="dxa"/>
              <w:bottom w:w="100" w:type="dxa"/>
              <w:right w:w="100" w:type="dxa"/>
            </w:tcMar>
          </w:tcPr>
          <w:p w14:paraId="2C9FC22F" w14:textId="77777777" w:rsidR="00584776" w:rsidRDefault="004C6691">
            <w:pPr>
              <w:widowControl w:val="0"/>
              <w:pBdr>
                <w:top w:val="nil"/>
                <w:left w:val="nil"/>
                <w:bottom w:val="nil"/>
                <w:right w:val="nil"/>
                <w:between w:val="nil"/>
              </w:pBdr>
              <w:spacing w:line="240" w:lineRule="auto"/>
              <w:rPr>
                <w:b/>
              </w:rPr>
            </w:pPr>
            <w:r>
              <w:rPr>
                <w:b/>
              </w:rPr>
              <w:t>Standing Committees</w:t>
            </w:r>
          </w:p>
        </w:tc>
        <w:tc>
          <w:tcPr>
            <w:tcW w:w="2706" w:type="dxa"/>
            <w:shd w:val="clear" w:color="auto" w:fill="auto"/>
            <w:tcMar>
              <w:top w:w="100" w:type="dxa"/>
              <w:left w:w="100" w:type="dxa"/>
              <w:bottom w:w="100" w:type="dxa"/>
              <w:right w:w="100" w:type="dxa"/>
            </w:tcMar>
          </w:tcPr>
          <w:p w14:paraId="2C9FC230" w14:textId="77777777" w:rsidR="00584776" w:rsidRDefault="004C6691">
            <w:pPr>
              <w:widowControl w:val="0"/>
              <w:pBdr>
                <w:top w:val="nil"/>
                <w:left w:val="nil"/>
                <w:bottom w:val="nil"/>
                <w:right w:val="nil"/>
                <w:between w:val="nil"/>
              </w:pBdr>
              <w:spacing w:line="240" w:lineRule="auto"/>
              <w:rPr>
                <w:b/>
              </w:rPr>
            </w:pPr>
            <w:r>
              <w:rPr>
                <w:b/>
              </w:rPr>
              <w:t>Chair/co-chair</w:t>
            </w:r>
          </w:p>
        </w:tc>
        <w:tc>
          <w:tcPr>
            <w:tcW w:w="3810" w:type="dxa"/>
            <w:shd w:val="clear" w:color="auto" w:fill="auto"/>
            <w:tcMar>
              <w:top w:w="100" w:type="dxa"/>
              <w:left w:w="100" w:type="dxa"/>
              <w:bottom w:w="100" w:type="dxa"/>
              <w:right w:w="100" w:type="dxa"/>
            </w:tcMar>
          </w:tcPr>
          <w:p w14:paraId="2C9FC231" w14:textId="77777777" w:rsidR="00584776" w:rsidRDefault="004C6691">
            <w:pPr>
              <w:widowControl w:val="0"/>
              <w:pBdr>
                <w:top w:val="nil"/>
                <w:left w:val="nil"/>
                <w:bottom w:val="nil"/>
                <w:right w:val="nil"/>
                <w:between w:val="nil"/>
              </w:pBdr>
              <w:spacing w:line="240" w:lineRule="auto"/>
              <w:rPr>
                <w:b/>
              </w:rPr>
            </w:pPr>
            <w:r>
              <w:rPr>
                <w:b/>
              </w:rPr>
              <w:t>Overall Goal</w:t>
            </w:r>
          </w:p>
          <w:p w14:paraId="2C9FC232" w14:textId="77777777" w:rsidR="00584776" w:rsidRDefault="004C6691">
            <w:pPr>
              <w:widowControl w:val="0"/>
              <w:spacing w:line="240" w:lineRule="auto"/>
              <w:rPr>
                <w:b/>
              </w:rPr>
            </w:pPr>
            <w:r>
              <w:rPr>
                <w:b/>
                <w:sz w:val="20"/>
                <w:szCs w:val="20"/>
              </w:rPr>
              <w:t>(Per council/committee description)</w:t>
            </w:r>
          </w:p>
        </w:tc>
        <w:tc>
          <w:tcPr>
            <w:tcW w:w="4920" w:type="dxa"/>
            <w:shd w:val="clear" w:color="auto" w:fill="auto"/>
            <w:tcMar>
              <w:top w:w="100" w:type="dxa"/>
              <w:left w:w="100" w:type="dxa"/>
              <w:bottom w:w="100" w:type="dxa"/>
              <w:right w:w="100" w:type="dxa"/>
            </w:tcMar>
          </w:tcPr>
          <w:p w14:paraId="2C9FC233" w14:textId="77777777" w:rsidR="00584776" w:rsidRDefault="004C6691">
            <w:pPr>
              <w:widowControl w:val="0"/>
              <w:pBdr>
                <w:top w:val="nil"/>
                <w:left w:val="nil"/>
                <w:bottom w:val="nil"/>
                <w:right w:val="nil"/>
                <w:between w:val="nil"/>
              </w:pBdr>
              <w:spacing w:line="240" w:lineRule="auto"/>
              <w:rPr>
                <w:b/>
              </w:rPr>
            </w:pPr>
            <w:r>
              <w:rPr>
                <w:b/>
              </w:rPr>
              <w:t>Objectives for 2021-2022</w:t>
            </w:r>
          </w:p>
          <w:p w14:paraId="2C9FC234" w14:textId="77777777" w:rsidR="00584776" w:rsidRDefault="004C6691">
            <w:pPr>
              <w:widowControl w:val="0"/>
              <w:pBdr>
                <w:top w:val="nil"/>
                <w:left w:val="nil"/>
                <w:bottom w:val="nil"/>
                <w:right w:val="nil"/>
                <w:between w:val="nil"/>
              </w:pBdr>
              <w:spacing w:line="240" w:lineRule="auto"/>
              <w:rPr>
                <w:b/>
                <w:sz w:val="20"/>
                <w:szCs w:val="20"/>
              </w:rPr>
            </w:pPr>
            <w:r>
              <w:rPr>
                <w:b/>
                <w:sz w:val="20"/>
                <w:szCs w:val="20"/>
              </w:rPr>
              <w:t>(List 3 to 5, especially for areas needing PGC recommendation)</w:t>
            </w:r>
          </w:p>
        </w:tc>
      </w:tr>
      <w:tr w:rsidR="00584776" w14:paraId="2C9FC23F" w14:textId="77777777" w:rsidTr="004C6691">
        <w:trPr>
          <w:trHeight w:val="2475"/>
        </w:trPr>
        <w:tc>
          <w:tcPr>
            <w:tcW w:w="2676" w:type="dxa"/>
            <w:shd w:val="clear" w:color="auto" w:fill="auto"/>
            <w:tcMar>
              <w:top w:w="100" w:type="dxa"/>
              <w:left w:w="100" w:type="dxa"/>
              <w:bottom w:w="100" w:type="dxa"/>
              <w:right w:w="100" w:type="dxa"/>
            </w:tcMar>
          </w:tcPr>
          <w:p w14:paraId="2C9FC236" w14:textId="77777777" w:rsidR="00584776" w:rsidRDefault="004C6691">
            <w:pPr>
              <w:widowControl w:val="0"/>
              <w:pBdr>
                <w:top w:val="nil"/>
                <w:left w:val="nil"/>
                <w:bottom w:val="nil"/>
                <w:right w:val="nil"/>
                <w:between w:val="nil"/>
              </w:pBdr>
              <w:spacing w:line="240" w:lineRule="auto"/>
            </w:pPr>
            <w:hyperlink r:id="rId7">
              <w:r>
                <w:rPr>
                  <w:color w:val="1155CC"/>
                  <w:u w:val="single"/>
                </w:rPr>
                <w:t>Accreditation</w:t>
              </w:r>
            </w:hyperlink>
          </w:p>
        </w:tc>
        <w:tc>
          <w:tcPr>
            <w:tcW w:w="2706" w:type="dxa"/>
            <w:shd w:val="clear" w:color="auto" w:fill="auto"/>
            <w:tcMar>
              <w:top w:w="100" w:type="dxa"/>
              <w:left w:w="100" w:type="dxa"/>
              <w:bottom w:w="100" w:type="dxa"/>
              <w:right w:w="100" w:type="dxa"/>
            </w:tcMar>
          </w:tcPr>
          <w:p w14:paraId="2C9FC237"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Accreditation Liaison Officer, </w:t>
            </w:r>
          </w:p>
          <w:p w14:paraId="2C9FC238"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faculty co-chair</w:t>
            </w:r>
          </w:p>
        </w:tc>
        <w:tc>
          <w:tcPr>
            <w:tcW w:w="3810" w:type="dxa"/>
            <w:shd w:val="clear" w:color="auto" w:fill="auto"/>
            <w:tcMar>
              <w:top w:w="100" w:type="dxa"/>
              <w:left w:w="100" w:type="dxa"/>
              <w:bottom w:w="100" w:type="dxa"/>
              <w:right w:w="100" w:type="dxa"/>
            </w:tcMar>
          </w:tcPr>
          <w:p w14:paraId="2C9FC239" w14:textId="77777777" w:rsidR="00584776" w:rsidRDefault="004C6691">
            <w:pPr>
              <w:widowControl w:val="0"/>
              <w:pBdr>
                <w:top w:val="nil"/>
                <w:left w:val="nil"/>
                <w:bottom w:val="nil"/>
                <w:right w:val="nil"/>
                <w:between w:val="nil"/>
              </w:pBdr>
              <w:spacing w:line="240" w:lineRule="auto"/>
            </w:pPr>
            <w:r>
              <w:rPr>
                <w:rFonts w:ascii="Calibri" w:eastAsia="Calibri" w:hAnsi="Calibri" w:cs="Calibri"/>
                <w:sz w:val="20"/>
                <w:szCs w:val="20"/>
              </w:rPr>
              <w:t xml:space="preserve">To </w:t>
            </w:r>
            <w:proofErr w:type="gramStart"/>
            <w:r>
              <w:rPr>
                <w:rFonts w:ascii="Calibri" w:eastAsia="Calibri" w:hAnsi="Calibri" w:cs="Calibri"/>
                <w:sz w:val="20"/>
                <w:szCs w:val="20"/>
              </w:rPr>
              <w:t>meet the accreditation standards at all times</w:t>
            </w:r>
            <w:proofErr w:type="gramEnd"/>
            <w:r>
              <w:rPr>
                <w:rFonts w:ascii="Calibri" w:eastAsia="Calibri" w:hAnsi="Calibri" w:cs="Calibri"/>
                <w:sz w:val="20"/>
                <w:szCs w:val="20"/>
              </w:rPr>
              <w:t>.</w:t>
            </w:r>
          </w:p>
        </w:tc>
        <w:tc>
          <w:tcPr>
            <w:tcW w:w="4920" w:type="dxa"/>
            <w:shd w:val="clear" w:color="auto" w:fill="auto"/>
            <w:tcMar>
              <w:top w:w="100" w:type="dxa"/>
              <w:left w:w="100" w:type="dxa"/>
              <w:bottom w:w="100" w:type="dxa"/>
              <w:right w:w="100" w:type="dxa"/>
            </w:tcMar>
          </w:tcPr>
          <w:p w14:paraId="2C9FC23A"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Monitor the timeline and process for developing the Institutional Self Evaluation Report and ensure that there is broad participation</w:t>
            </w:r>
          </w:p>
          <w:p w14:paraId="2C9FC23B"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Receive draft responses to the Standards and other elements of the ISER and provide feedback</w:t>
            </w:r>
          </w:p>
          <w:p w14:paraId="2C9FC23C"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 xml:space="preserve">Finalize draft ISER for Fall </w:t>
            </w:r>
            <w:r>
              <w:rPr>
                <w:rFonts w:ascii="Calibri" w:eastAsia="Calibri" w:hAnsi="Calibri" w:cs="Calibri"/>
                <w:sz w:val="20"/>
                <w:szCs w:val="20"/>
              </w:rPr>
              <w:t>2022 Collegewide feedback</w:t>
            </w:r>
          </w:p>
          <w:p w14:paraId="2C9FC23D"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Prepare and submit annual and fiscal reports to ACCJC</w:t>
            </w:r>
          </w:p>
          <w:p w14:paraId="2C9FC23E"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Respond as necessary to requests from ACCJC related to being on enhanced monitoring</w:t>
            </w:r>
          </w:p>
        </w:tc>
      </w:tr>
      <w:tr w:rsidR="00584776" w14:paraId="2C9FC249" w14:textId="77777777" w:rsidTr="004C6691">
        <w:trPr>
          <w:trHeight w:val="3045"/>
        </w:trPr>
        <w:tc>
          <w:tcPr>
            <w:tcW w:w="2676" w:type="dxa"/>
            <w:shd w:val="clear" w:color="auto" w:fill="auto"/>
            <w:tcMar>
              <w:top w:w="100" w:type="dxa"/>
              <w:left w:w="100" w:type="dxa"/>
              <w:bottom w:w="100" w:type="dxa"/>
              <w:right w:w="100" w:type="dxa"/>
            </w:tcMar>
          </w:tcPr>
          <w:p w14:paraId="2C9FC240" w14:textId="77777777" w:rsidR="00584776" w:rsidRDefault="004C6691">
            <w:pPr>
              <w:widowControl w:val="0"/>
              <w:pBdr>
                <w:top w:val="nil"/>
                <w:left w:val="nil"/>
                <w:bottom w:val="nil"/>
                <w:right w:val="nil"/>
                <w:between w:val="nil"/>
              </w:pBdr>
              <w:spacing w:line="240" w:lineRule="auto"/>
            </w:pPr>
            <w:hyperlink r:id="rId8">
              <w:r>
                <w:rPr>
                  <w:color w:val="1155CC"/>
                  <w:u w:val="single"/>
                </w:rPr>
                <w:t xml:space="preserve">Budget </w:t>
              </w:r>
            </w:hyperlink>
          </w:p>
        </w:tc>
        <w:tc>
          <w:tcPr>
            <w:tcW w:w="2706" w:type="dxa"/>
            <w:shd w:val="clear" w:color="auto" w:fill="auto"/>
            <w:tcMar>
              <w:top w:w="100" w:type="dxa"/>
              <w:left w:w="100" w:type="dxa"/>
              <w:bottom w:w="100" w:type="dxa"/>
              <w:right w:w="100" w:type="dxa"/>
            </w:tcMar>
          </w:tcPr>
          <w:p w14:paraId="2C9FC241"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AVC Finance &amp; Administration</w:t>
            </w:r>
          </w:p>
        </w:tc>
        <w:tc>
          <w:tcPr>
            <w:tcW w:w="3810" w:type="dxa"/>
            <w:shd w:val="clear" w:color="auto" w:fill="auto"/>
            <w:tcMar>
              <w:top w:w="100" w:type="dxa"/>
              <w:left w:w="100" w:type="dxa"/>
              <w:bottom w:w="100" w:type="dxa"/>
              <w:right w:w="100" w:type="dxa"/>
            </w:tcMar>
          </w:tcPr>
          <w:p w14:paraId="2C9FC242"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This Committee meets as required to understand, discuss, evaluate and make recommendations on the </w:t>
            </w:r>
            <w:proofErr w:type="gramStart"/>
            <w:r>
              <w:rPr>
                <w:rFonts w:ascii="Calibri" w:eastAsia="Calibri" w:hAnsi="Calibri" w:cs="Calibri"/>
                <w:sz w:val="20"/>
                <w:szCs w:val="20"/>
              </w:rPr>
              <w:t>District’s</w:t>
            </w:r>
            <w:proofErr w:type="gramEnd"/>
            <w:r>
              <w:rPr>
                <w:rFonts w:ascii="Calibri" w:eastAsia="Calibri" w:hAnsi="Calibri" w:cs="Calibri"/>
                <w:sz w:val="20"/>
                <w:szCs w:val="20"/>
              </w:rPr>
              <w:t xml:space="preserve"> annual budget</w:t>
            </w:r>
            <w:r>
              <w:rPr>
                <w:rFonts w:ascii="Calibri" w:eastAsia="Calibri" w:hAnsi="Calibri" w:cs="Calibri"/>
                <w:sz w:val="20"/>
                <w:szCs w:val="20"/>
              </w:rPr>
              <w:t>, budget processes, and budget procedures.</w:t>
            </w:r>
          </w:p>
        </w:tc>
        <w:tc>
          <w:tcPr>
            <w:tcW w:w="4920" w:type="dxa"/>
            <w:shd w:val="clear" w:color="auto" w:fill="auto"/>
            <w:tcMar>
              <w:top w:w="100" w:type="dxa"/>
              <w:left w:w="100" w:type="dxa"/>
              <w:bottom w:w="100" w:type="dxa"/>
              <w:right w:w="100" w:type="dxa"/>
            </w:tcMar>
          </w:tcPr>
          <w:p w14:paraId="2C9FC243" w14:textId="77777777" w:rsidR="00584776" w:rsidRDefault="004C6691">
            <w:pPr>
              <w:widowControl w:val="0"/>
              <w:pBdr>
                <w:top w:val="nil"/>
                <w:left w:val="nil"/>
                <w:bottom w:val="nil"/>
                <w:right w:val="nil"/>
                <w:between w:val="nil"/>
              </w:pBdr>
              <w:spacing w:line="240" w:lineRule="auto"/>
              <w:rPr>
                <w:rFonts w:ascii="Calibri" w:eastAsia="Calibri" w:hAnsi="Calibri" w:cs="Calibri"/>
                <w:i/>
                <w:sz w:val="20"/>
                <w:szCs w:val="20"/>
              </w:rPr>
            </w:pPr>
            <w:r>
              <w:rPr>
                <w:rFonts w:ascii="Calibri" w:eastAsia="Calibri" w:hAnsi="Calibri" w:cs="Calibri"/>
                <w:i/>
                <w:sz w:val="20"/>
                <w:szCs w:val="20"/>
              </w:rPr>
              <w:t>2021 - 2022 update in progress:</w:t>
            </w:r>
          </w:p>
          <w:p w14:paraId="2C9FC244" w14:textId="77777777" w:rsidR="00584776" w:rsidRDefault="00584776">
            <w:pPr>
              <w:widowControl w:val="0"/>
              <w:pBdr>
                <w:top w:val="nil"/>
                <w:left w:val="nil"/>
                <w:bottom w:val="nil"/>
                <w:right w:val="nil"/>
                <w:between w:val="nil"/>
              </w:pBdr>
              <w:spacing w:line="240" w:lineRule="auto"/>
              <w:rPr>
                <w:rFonts w:ascii="Calibri" w:eastAsia="Calibri" w:hAnsi="Calibri" w:cs="Calibri"/>
                <w:i/>
                <w:sz w:val="20"/>
                <w:szCs w:val="20"/>
              </w:rPr>
            </w:pPr>
          </w:p>
          <w:p w14:paraId="2C9FC245"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i/>
                <w:sz w:val="20"/>
                <w:szCs w:val="20"/>
              </w:rPr>
              <w:t>Document and monitor cost controls to avoid overspending, identify failures, and discuss possible solutions</w:t>
            </w:r>
          </w:p>
          <w:p w14:paraId="2C9FC246"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i/>
                <w:sz w:val="20"/>
                <w:szCs w:val="20"/>
              </w:rPr>
              <w:t xml:space="preserve">Review monitoring reports on expenditures to date </w:t>
            </w:r>
          </w:p>
          <w:p w14:paraId="2C9FC247"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i/>
                <w:sz w:val="20"/>
                <w:szCs w:val="20"/>
              </w:rPr>
              <w:t>Receive training, inc</w:t>
            </w:r>
            <w:r>
              <w:rPr>
                <w:rFonts w:ascii="Calibri" w:eastAsia="Calibri" w:hAnsi="Calibri" w:cs="Calibri"/>
                <w:i/>
                <w:sz w:val="20"/>
                <w:szCs w:val="20"/>
              </w:rPr>
              <w:t>luding implicit training during meetings, on state and local sources of revenue and implications for CCSF</w:t>
            </w:r>
          </w:p>
          <w:p w14:paraId="2C9FC248"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i/>
                <w:sz w:val="20"/>
                <w:szCs w:val="20"/>
              </w:rPr>
              <w:t>Formalize committee recommendations and inform committee of subsequent actions taken</w:t>
            </w:r>
          </w:p>
        </w:tc>
      </w:tr>
      <w:tr w:rsidR="00584776" w14:paraId="2C9FC251" w14:textId="77777777" w:rsidTr="004C6691">
        <w:trPr>
          <w:trHeight w:val="840"/>
        </w:trPr>
        <w:tc>
          <w:tcPr>
            <w:tcW w:w="2676" w:type="dxa"/>
            <w:shd w:val="clear" w:color="auto" w:fill="auto"/>
            <w:tcMar>
              <w:top w:w="100" w:type="dxa"/>
              <w:left w:w="100" w:type="dxa"/>
              <w:bottom w:w="100" w:type="dxa"/>
              <w:right w:w="100" w:type="dxa"/>
            </w:tcMar>
          </w:tcPr>
          <w:p w14:paraId="2C9FC24A" w14:textId="77777777" w:rsidR="00584776" w:rsidRDefault="004C6691">
            <w:pPr>
              <w:widowControl w:val="0"/>
              <w:pBdr>
                <w:top w:val="nil"/>
                <w:left w:val="nil"/>
                <w:bottom w:val="nil"/>
                <w:right w:val="nil"/>
                <w:between w:val="nil"/>
              </w:pBdr>
              <w:spacing w:line="240" w:lineRule="auto"/>
            </w:pPr>
            <w:hyperlink r:id="rId9">
              <w:r>
                <w:rPr>
                  <w:color w:val="1155CC"/>
                  <w:u w:val="single"/>
                </w:rPr>
                <w:t>Diversity</w:t>
              </w:r>
            </w:hyperlink>
          </w:p>
        </w:tc>
        <w:tc>
          <w:tcPr>
            <w:tcW w:w="2706" w:type="dxa"/>
            <w:shd w:val="clear" w:color="auto" w:fill="auto"/>
            <w:tcMar>
              <w:top w:w="100" w:type="dxa"/>
              <w:left w:w="100" w:type="dxa"/>
              <w:bottom w:w="100" w:type="dxa"/>
              <w:right w:w="100" w:type="dxa"/>
            </w:tcMar>
          </w:tcPr>
          <w:p w14:paraId="2C9FC24B"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AVC Human Resources</w:t>
            </w:r>
          </w:p>
        </w:tc>
        <w:tc>
          <w:tcPr>
            <w:tcW w:w="3810" w:type="dxa"/>
            <w:shd w:val="clear" w:color="auto" w:fill="auto"/>
            <w:tcMar>
              <w:top w:w="100" w:type="dxa"/>
              <w:left w:w="100" w:type="dxa"/>
              <w:bottom w:w="100" w:type="dxa"/>
              <w:right w:w="100" w:type="dxa"/>
            </w:tcMar>
          </w:tcPr>
          <w:p w14:paraId="2C9FC24C"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In alignment with the mission and strategic plan, promote and cultivate College div</w:t>
            </w:r>
            <w:r>
              <w:rPr>
                <w:rFonts w:ascii="Calibri" w:eastAsia="Calibri" w:hAnsi="Calibri" w:cs="Calibri"/>
                <w:sz w:val="20"/>
                <w:szCs w:val="20"/>
              </w:rPr>
              <w:t>ersity initiatives.</w:t>
            </w:r>
          </w:p>
        </w:tc>
        <w:tc>
          <w:tcPr>
            <w:tcW w:w="4920" w:type="dxa"/>
            <w:shd w:val="clear" w:color="auto" w:fill="auto"/>
            <w:tcMar>
              <w:top w:w="100" w:type="dxa"/>
              <w:left w:w="100" w:type="dxa"/>
              <w:bottom w:w="100" w:type="dxa"/>
              <w:right w:w="100" w:type="dxa"/>
            </w:tcMar>
          </w:tcPr>
          <w:p w14:paraId="2C9FC24D"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Conduct two college-wide DEI&amp;B* training and/or workshops to enhance DEI&amp;B awareness</w:t>
            </w:r>
          </w:p>
          <w:p w14:paraId="2C9FC24E"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Identify internal partners and community partners to promote DEI&amp;B in the college, with the purpose of sharing resources and learning creative (state of the art) strategies</w:t>
            </w:r>
          </w:p>
          <w:p w14:paraId="2C9FC24F"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Assess diversity hiring practices and refine diversity rubric and training to suppo</w:t>
            </w:r>
            <w:r>
              <w:rPr>
                <w:rFonts w:ascii="Calibri" w:eastAsia="Calibri" w:hAnsi="Calibri" w:cs="Calibri"/>
                <w:sz w:val="20"/>
                <w:szCs w:val="20"/>
              </w:rPr>
              <w:t>rt efforts</w:t>
            </w:r>
          </w:p>
          <w:p w14:paraId="2C9FC250" w14:textId="77777777" w:rsidR="00584776" w:rsidRDefault="004C6691">
            <w:pPr>
              <w:widowControl w:val="0"/>
              <w:pBdr>
                <w:top w:val="nil"/>
                <w:left w:val="nil"/>
                <w:bottom w:val="nil"/>
                <w:right w:val="nil"/>
                <w:between w:val="nil"/>
              </w:pBdr>
              <w:spacing w:line="240" w:lineRule="auto"/>
              <w:jc w:val="right"/>
              <w:rPr>
                <w:rFonts w:ascii="Calibri" w:eastAsia="Calibri" w:hAnsi="Calibri" w:cs="Calibri"/>
                <w:sz w:val="16"/>
                <w:szCs w:val="16"/>
              </w:rPr>
            </w:pPr>
            <w:r>
              <w:rPr>
                <w:rFonts w:ascii="Calibri" w:eastAsia="Calibri" w:hAnsi="Calibri" w:cs="Calibri"/>
                <w:sz w:val="16"/>
                <w:szCs w:val="16"/>
              </w:rPr>
              <w:t>* Diversity, Equity, Inclusion &amp; Belonging</w:t>
            </w:r>
          </w:p>
        </w:tc>
      </w:tr>
      <w:tr w:rsidR="00584776" w14:paraId="2C9FC25A" w14:textId="77777777" w:rsidTr="004C6691">
        <w:trPr>
          <w:trHeight w:val="3465"/>
        </w:trPr>
        <w:tc>
          <w:tcPr>
            <w:tcW w:w="2676" w:type="dxa"/>
            <w:shd w:val="clear" w:color="auto" w:fill="auto"/>
            <w:tcMar>
              <w:top w:w="100" w:type="dxa"/>
              <w:left w:w="100" w:type="dxa"/>
              <w:bottom w:w="100" w:type="dxa"/>
              <w:right w:w="100" w:type="dxa"/>
            </w:tcMar>
          </w:tcPr>
          <w:p w14:paraId="2C9FC252" w14:textId="77777777" w:rsidR="00584776" w:rsidRDefault="004C6691">
            <w:pPr>
              <w:widowControl w:val="0"/>
              <w:pBdr>
                <w:top w:val="nil"/>
                <w:left w:val="nil"/>
                <w:bottom w:val="nil"/>
                <w:right w:val="nil"/>
                <w:between w:val="nil"/>
              </w:pBdr>
              <w:spacing w:line="240" w:lineRule="auto"/>
            </w:pPr>
            <w:hyperlink r:id="rId10">
              <w:r>
                <w:rPr>
                  <w:color w:val="1155CC"/>
                  <w:u w:val="single"/>
                </w:rPr>
                <w:t>Enrollment Management</w:t>
              </w:r>
            </w:hyperlink>
          </w:p>
        </w:tc>
        <w:tc>
          <w:tcPr>
            <w:tcW w:w="2706" w:type="dxa"/>
            <w:shd w:val="clear" w:color="auto" w:fill="auto"/>
            <w:tcMar>
              <w:top w:w="100" w:type="dxa"/>
              <w:left w:w="100" w:type="dxa"/>
              <w:bottom w:w="100" w:type="dxa"/>
              <w:right w:w="100" w:type="dxa"/>
            </w:tcMar>
          </w:tcPr>
          <w:p w14:paraId="2C9FC253"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AVC Academic Affairs,</w:t>
            </w:r>
          </w:p>
          <w:p w14:paraId="2C9FC254"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faculty co-chair</w:t>
            </w:r>
          </w:p>
        </w:tc>
        <w:tc>
          <w:tcPr>
            <w:tcW w:w="3810" w:type="dxa"/>
            <w:shd w:val="clear" w:color="auto" w:fill="auto"/>
            <w:tcMar>
              <w:top w:w="100" w:type="dxa"/>
              <w:left w:w="100" w:type="dxa"/>
              <w:bottom w:w="100" w:type="dxa"/>
              <w:right w:w="100" w:type="dxa"/>
            </w:tcMar>
          </w:tcPr>
          <w:p w14:paraId="2C9FC255"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Ensure enrollment goals are aligned with the college’s mission, including student learning achievement and outcomes, as well as board priorities and college plans.</w:t>
            </w:r>
          </w:p>
        </w:tc>
        <w:tc>
          <w:tcPr>
            <w:tcW w:w="4920" w:type="dxa"/>
            <w:shd w:val="clear" w:color="auto" w:fill="auto"/>
            <w:tcMar>
              <w:top w:w="100" w:type="dxa"/>
              <w:left w:w="100" w:type="dxa"/>
              <w:bottom w:w="100" w:type="dxa"/>
              <w:right w:w="100" w:type="dxa"/>
            </w:tcMar>
          </w:tcPr>
          <w:p w14:paraId="2C9FC256"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 xml:space="preserve">Review alignment of class schedule with college mission to develop strategic enrollment management principles and priorities to guide budget decisions. </w:t>
            </w:r>
          </w:p>
          <w:p w14:paraId="2C9FC257"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Use data and information that indicate student demand for courses and programs to prioritize course and</w:t>
            </w:r>
            <w:r>
              <w:rPr>
                <w:rFonts w:ascii="Calibri" w:eastAsia="Calibri" w:hAnsi="Calibri" w:cs="Calibri"/>
                <w:sz w:val="20"/>
                <w:szCs w:val="20"/>
              </w:rPr>
              <w:t xml:space="preserve"> program offerings, especially looking to close the opportunity gaps for Black and African American students and other disproportionately impacted populations.</w:t>
            </w:r>
          </w:p>
          <w:p w14:paraId="2C9FC258"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Make recommendations on all aspects of college function that affect enrollment and growth, inclu</w:t>
            </w:r>
            <w:r>
              <w:rPr>
                <w:rFonts w:ascii="Calibri" w:eastAsia="Calibri" w:hAnsi="Calibri" w:cs="Calibri"/>
                <w:sz w:val="20"/>
                <w:szCs w:val="20"/>
              </w:rPr>
              <w:t xml:space="preserve">ding marketing, targeted outreach, and registration processes. </w:t>
            </w:r>
          </w:p>
          <w:p w14:paraId="2C9FC259" w14:textId="77777777" w:rsidR="00584776" w:rsidRDefault="00584776">
            <w:pPr>
              <w:widowControl w:val="0"/>
              <w:spacing w:line="240" w:lineRule="auto"/>
              <w:ind w:left="720"/>
              <w:rPr>
                <w:rFonts w:ascii="Calibri" w:eastAsia="Calibri" w:hAnsi="Calibri" w:cs="Calibri"/>
                <w:sz w:val="20"/>
                <w:szCs w:val="20"/>
              </w:rPr>
            </w:pPr>
          </w:p>
        </w:tc>
      </w:tr>
      <w:tr w:rsidR="00584776" w14:paraId="2C9FC262" w14:textId="77777777" w:rsidTr="004C6691">
        <w:trPr>
          <w:trHeight w:val="3480"/>
        </w:trPr>
        <w:tc>
          <w:tcPr>
            <w:tcW w:w="2676" w:type="dxa"/>
            <w:shd w:val="clear" w:color="auto" w:fill="auto"/>
            <w:tcMar>
              <w:top w:w="100" w:type="dxa"/>
              <w:left w:w="100" w:type="dxa"/>
              <w:bottom w:w="100" w:type="dxa"/>
              <w:right w:w="100" w:type="dxa"/>
            </w:tcMar>
          </w:tcPr>
          <w:p w14:paraId="2C9FC25B" w14:textId="77777777" w:rsidR="00584776" w:rsidRDefault="004C6691">
            <w:pPr>
              <w:widowControl w:val="0"/>
              <w:pBdr>
                <w:top w:val="nil"/>
                <w:left w:val="nil"/>
                <w:bottom w:val="nil"/>
                <w:right w:val="nil"/>
                <w:between w:val="nil"/>
              </w:pBdr>
              <w:spacing w:line="240" w:lineRule="auto"/>
            </w:pPr>
            <w:hyperlink r:id="rId11">
              <w:r>
                <w:rPr>
                  <w:color w:val="1155CC"/>
                  <w:u w:val="single"/>
                </w:rPr>
                <w:t>Facilities</w:t>
              </w:r>
            </w:hyperlink>
          </w:p>
        </w:tc>
        <w:tc>
          <w:tcPr>
            <w:tcW w:w="2706" w:type="dxa"/>
            <w:shd w:val="clear" w:color="auto" w:fill="auto"/>
            <w:tcMar>
              <w:top w:w="100" w:type="dxa"/>
              <w:left w:w="100" w:type="dxa"/>
              <w:bottom w:w="100" w:type="dxa"/>
              <w:right w:w="100" w:type="dxa"/>
            </w:tcMar>
          </w:tcPr>
          <w:p w14:paraId="2C9FC25C"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AVC Facilities, </w:t>
            </w:r>
          </w:p>
          <w:p w14:paraId="2C9FC25D"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co-chair elected annually</w:t>
            </w:r>
          </w:p>
        </w:tc>
        <w:tc>
          <w:tcPr>
            <w:tcW w:w="3810" w:type="dxa"/>
            <w:shd w:val="clear" w:color="auto" w:fill="auto"/>
            <w:tcMar>
              <w:top w:w="100" w:type="dxa"/>
              <w:left w:w="100" w:type="dxa"/>
              <w:bottom w:w="100" w:type="dxa"/>
              <w:right w:w="100" w:type="dxa"/>
            </w:tcMar>
          </w:tcPr>
          <w:p w14:paraId="2C9FC25E"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To provide insight and recommendations for sustainable us</w:t>
            </w:r>
            <w:r>
              <w:rPr>
                <w:rFonts w:ascii="Calibri" w:eastAsia="Calibri" w:hAnsi="Calibri" w:cs="Calibri"/>
                <w:sz w:val="20"/>
                <w:szCs w:val="20"/>
              </w:rPr>
              <w:t>e, maintenance, and development of facilities to optimize the college environment.</w:t>
            </w:r>
          </w:p>
        </w:tc>
        <w:tc>
          <w:tcPr>
            <w:tcW w:w="4920" w:type="dxa"/>
            <w:shd w:val="clear" w:color="auto" w:fill="auto"/>
            <w:tcMar>
              <w:top w:w="100" w:type="dxa"/>
              <w:left w:w="100" w:type="dxa"/>
              <w:bottom w:w="100" w:type="dxa"/>
              <w:right w:w="100" w:type="dxa"/>
            </w:tcMar>
          </w:tcPr>
          <w:p w14:paraId="2C9FC25F"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 xml:space="preserve">Provide recommendations to PGC regarding the Facilities Master </w:t>
            </w:r>
            <w:proofErr w:type="gramStart"/>
            <w:r>
              <w:rPr>
                <w:rFonts w:ascii="Calibri" w:eastAsia="Calibri" w:hAnsi="Calibri" w:cs="Calibri"/>
                <w:sz w:val="20"/>
                <w:szCs w:val="20"/>
              </w:rPr>
              <w:t>Plan,  5</w:t>
            </w:r>
            <w:proofErr w:type="gramEnd"/>
            <w:r>
              <w:rPr>
                <w:rFonts w:ascii="Calibri" w:eastAsia="Calibri" w:hAnsi="Calibri" w:cs="Calibri"/>
                <w:sz w:val="20"/>
                <w:szCs w:val="20"/>
              </w:rPr>
              <w:t xml:space="preserve"> Year Capital Outlay Plan, Sustainability Plan, Facilities Design Standards, and applicable accreditat</w:t>
            </w:r>
            <w:r>
              <w:rPr>
                <w:rFonts w:ascii="Calibri" w:eastAsia="Calibri" w:hAnsi="Calibri" w:cs="Calibri"/>
                <w:sz w:val="20"/>
                <w:szCs w:val="20"/>
              </w:rPr>
              <w:t xml:space="preserve">ion standards, mindful of the Multi Year Budget and Enrollment Plan  </w:t>
            </w:r>
          </w:p>
          <w:p w14:paraId="2C9FC260"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Make recommendations that prioritize spaces and support for Black students and all disproportionately impacted populations</w:t>
            </w:r>
          </w:p>
          <w:p w14:paraId="2C9FC261"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Follow appropriate Facilities Committee processes to review and</w:t>
            </w:r>
            <w:r>
              <w:rPr>
                <w:rFonts w:ascii="Calibri" w:eastAsia="Calibri" w:hAnsi="Calibri" w:cs="Calibri"/>
                <w:sz w:val="20"/>
                <w:szCs w:val="20"/>
              </w:rPr>
              <w:t xml:space="preserve"> provide input on facilities related items for all District locations that will be brought to FMPOC and the Board of Trustees via PGC</w:t>
            </w:r>
          </w:p>
        </w:tc>
      </w:tr>
      <w:tr w:rsidR="00584776" w14:paraId="2C9FC26B" w14:textId="77777777" w:rsidTr="004C6691">
        <w:trPr>
          <w:trHeight w:val="2250"/>
        </w:trPr>
        <w:tc>
          <w:tcPr>
            <w:tcW w:w="2676" w:type="dxa"/>
            <w:shd w:val="clear" w:color="auto" w:fill="auto"/>
            <w:tcMar>
              <w:top w:w="100" w:type="dxa"/>
              <w:left w:w="100" w:type="dxa"/>
              <w:bottom w:w="100" w:type="dxa"/>
              <w:right w:w="100" w:type="dxa"/>
            </w:tcMar>
          </w:tcPr>
          <w:p w14:paraId="2C9FC263" w14:textId="77777777" w:rsidR="00584776" w:rsidRDefault="004C6691">
            <w:pPr>
              <w:widowControl w:val="0"/>
              <w:pBdr>
                <w:top w:val="nil"/>
                <w:left w:val="nil"/>
                <w:bottom w:val="nil"/>
                <w:right w:val="nil"/>
                <w:between w:val="nil"/>
              </w:pBdr>
              <w:spacing w:line="240" w:lineRule="auto"/>
              <w:rPr>
                <w:sz w:val="30"/>
                <w:szCs w:val="30"/>
              </w:rPr>
            </w:pPr>
            <w:hyperlink r:id="rId12">
              <w:r>
                <w:rPr>
                  <w:color w:val="1155CC"/>
                  <w:sz w:val="30"/>
                  <w:szCs w:val="30"/>
                  <w:u w:val="single"/>
                </w:rPr>
                <w:t>Health and Safety</w:t>
              </w:r>
            </w:hyperlink>
          </w:p>
        </w:tc>
        <w:tc>
          <w:tcPr>
            <w:tcW w:w="2706" w:type="dxa"/>
            <w:shd w:val="clear" w:color="auto" w:fill="auto"/>
            <w:tcMar>
              <w:top w:w="100" w:type="dxa"/>
              <w:left w:w="100" w:type="dxa"/>
              <w:bottom w:w="100" w:type="dxa"/>
              <w:right w:w="100" w:type="dxa"/>
            </w:tcMar>
          </w:tcPr>
          <w:p w14:paraId="2C9FC264" w14:textId="77777777" w:rsidR="00584776" w:rsidRDefault="004C6691">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Risk Manager,</w:t>
            </w:r>
          </w:p>
          <w:p w14:paraId="2C9FC265" w14:textId="77777777" w:rsidR="00584776" w:rsidRDefault="004C6691">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Director of Student Health</w:t>
            </w:r>
          </w:p>
        </w:tc>
        <w:tc>
          <w:tcPr>
            <w:tcW w:w="3810" w:type="dxa"/>
            <w:shd w:val="clear" w:color="auto" w:fill="auto"/>
            <w:tcMar>
              <w:top w:w="100" w:type="dxa"/>
              <w:left w:w="100" w:type="dxa"/>
              <w:bottom w:w="100" w:type="dxa"/>
              <w:right w:w="100" w:type="dxa"/>
            </w:tcMar>
          </w:tcPr>
          <w:p w14:paraId="2C9FC266" w14:textId="77777777" w:rsidR="00584776" w:rsidRDefault="004C6691">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This Committee meets as required to assist the College in promoting a healthy workplace and educational environme</w:t>
            </w:r>
            <w:r>
              <w:rPr>
                <w:rFonts w:ascii="Calibri" w:eastAsia="Calibri" w:hAnsi="Calibri" w:cs="Calibri"/>
                <w:sz w:val="28"/>
                <w:szCs w:val="28"/>
              </w:rPr>
              <w:t>nt free of recognized physical and environmental hazards.</w:t>
            </w:r>
          </w:p>
        </w:tc>
        <w:tc>
          <w:tcPr>
            <w:tcW w:w="4920" w:type="dxa"/>
            <w:shd w:val="clear" w:color="auto" w:fill="auto"/>
            <w:tcMar>
              <w:top w:w="100" w:type="dxa"/>
              <w:left w:w="100" w:type="dxa"/>
              <w:bottom w:w="100" w:type="dxa"/>
              <w:right w:w="100" w:type="dxa"/>
            </w:tcMar>
          </w:tcPr>
          <w:p w14:paraId="2C9FC267" w14:textId="77777777" w:rsidR="00584776" w:rsidRDefault="004C6691">
            <w:pPr>
              <w:widowControl w:val="0"/>
              <w:numPr>
                <w:ilvl w:val="0"/>
                <w:numId w:val="1"/>
              </w:numPr>
              <w:ind w:left="360"/>
              <w:rPr>
                <w:rFonts w:ascii="Calibri" w:eastAsia="Calibri" w:hAnsi="Calibri" w:cs="Calibri"/>
                <w:sz w:val="28"/>
                <w:szCs w:val="28"/>
              </w:rPr>
            </w:pPr>
            <w:r>
              <w:rPr>
                <w:rFonts w:ascii="Calibri" w:eastAsia="Calibri" w:hAnsi="Calibri" w:cs="Calibri"/>
                <w:sz w:val="28"/>
                <w:szCs w:val="28"/>
              </w:rPr>
              <w:t>Finalize Emergency Operations Plan updates</w:t>
            </w:r>
          </w:p>
          <w:p w14:paraId="2C9FC268" w14:textId="77777777" w:rsidR="00584776" w:rsidRDefault="004C6691">
            <w:pPr>
              <w:widowControl w:val="0"/>
              <w:numPr>
                <w:ilvl w:val="0"/>
                <w:numId w:val="1"/>
              </w:numPr>
              <w:ind w:left="360"/>
              <w:rPr>
                <w:rFonts w:ascii="Calibri" w:eastAsia="Calibri" w:hAnsi="Calibri" w:cs="Calibri"/>
                <w:sz w:val="28"/>
                <w:szCs w:val="28"/>
              </w:rPr>
            </w:pPr>
            <w:r>
              <w:rPr>
                <w:rFonts w:ascii="Calibri" w:eastAsia="Calibri" w:hAnsi="Calibri" w:cs="Calibri"/>
                <w:sz w:val="28"/>
                <w:szCs w:val="28"/>
              </w:rPr>
              <w:t>Ensure adequate training of Emergency Operations Plan</w:t>
            </w:r>
          </w:p>
          <w:p w14:paraId="2C9FC269" w14:textId="77777777" w:rsidR="00584776" w:rsidRDefault="004C6691">
            <w:pPr>
              <w:widowControl w:val="0"/>
              <w:numPr>
                <w:ilvl w:val="0"/>
                <w:numId w:val="1"/>
              </w:numPr>
              <w:ind w:left="360"/>
              <w:rPr>
                <w:rFonts w:ascii="Calibri" w:eastAsia="Calibri" w:hAnsi="Calibri" w:cs="Calibri"/>
                <w:sz w:val="28"/>
                <w:szCs w:val="28"/>
              </w:rPr>
            </w:pPr>
            <w:r>
              <w:rPr>
                <w:rFonts w:ascii="Calibri" w:eastAsia="Calibri" w:hAnsi="Calibri" w:cs="Calibri"/>
                <w:sz w:val="28"/>
                <w:szCs w:val="28"/>
              </w:rPr>
              <w:t>Develop campus wide disaster preparedness exercise (building evacuation teams / drills)</w:t>
            </w:r>
          </w:p>
          <w:p w14:paraId="2C9FC26A" w14:textId="77777777" w:rsidR="00584776" w:rsidRDefault="004C6691">
            <w:pPr>
              <w:widowControl w:val="0"/>
              <w:numPr>
                <w:ilvl w:val="0"/>
                <w:numId w:val="1"/>
              </w:numPr>
              <w:ind w:left="360"/>
              <w:rPr>
                <w:rFonts w:ascii="Calibri" w:eastAsia="Calibri" w:hAnsi="Calibri" w:cs="Calibri"/>
                <w:sz w:val="28"/>
                <w:szCs w:val="28"/>
              </w:rPr>
            </w:pPr>
            <w:r>
              <w:rPr>
                <w:rFonts w:ascii="Calibri" w:eastAsia="Calibri" w:hAnsi="Calibri" w:cs="Calibri"/>
                <w:sz w:val="28"/>
                <w:szCs w:val="28"/>
              </w:rPr>
              <w:t>Continue prov</w:t>
            </w:r>
            <w:r>
              <w:rPr>
                <w:rFonts w:ascii="Calibri" w:eastAsia="Calibri" w:hAnsi="Calibri" w:cs="Calibri"/>
                <w:sz w:val="28"/>
                <w:szCs w:val="28"/>
              </w:rPr>
              <w:t>iding feedback on COVID-19 vaccine mandate implementation</w:t>
            </w:r>
          </w:p>
        </w:tc>
      </w:tr>
      <w:tr w:rsidR="00584776" w14:paraId="2C9FC275" w14:textId="77777777" w:rsidTr="004C6691">
        <w:trPr>
          <w:trHeight w:val="3390"/>
        </w:trPr>
        <w:tc>
          <w:tcPr>
            <w:tcW w:w="2676" w:type="dxa"/>
            <w:shd w:val="clear" w:color="auto" w:fill="auto"/>
            <w:tcMar>
              <w:top w:w="100" w:type="dxa"/>
              <w:left w:w="100" w:type="dxa"/>
              <w:bottom w:w="100" w:type="dxa"/>
              <w:right w:w="100" w:type="dxa"/>
            </w:tcMar>
          </w:tcPr>
          <w:p w14:paraId="2C9FC26C" w14:textId="77777777" w:rsidR="00584776" w:rsidRDefault="004C6691">
            <w:pPr>
              <w:widowControl w:val="0"/>
              <w:pBdr>
                <w:top w:val="nil"/>
                <w:left w:val="nil"/>
                <w:bottom w:val="nil"/>
                <w:right w:val="nil"/>
                <w:between w:val="nil"/>
              </w:pBdr>
              <w:spacing w:line="240" w:lineRule="auto"/>
            </w:pPr>
            <w:hyperlink r:id="rId13">
              <w:r>
                <w:rPr>
                  <w:color w:val="1155CC"/>
                  <w:u w:val="single"/>
                </w:rPr>
                <w:t>Planning</w:t>
              </w:r>
            </w:hyperlink>
          </w:p>
        </w:tc>
        <w:tc>
          <w:tcPr>
            <w:tcW w:w="2706" w:type="dxa"/>
            <w:shd w:val="clear" w:color="auto" w:fill="auto"/>
            <w:tcMar>
              <w:top w:w="100" w:type="dxa"/>
              <w:left w:w="100" w:type="dxa"/>
              <w:bottom w:w="100" w:type="dxa"/>
              <w:right w:w="100" w:type="dxa"/>
            </w:tcMar>
          </w:tcPr>
          <w:p w14:paraId="2C9FC26D"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Dean, Institutional Effectiveness</w:t>
            </w:r>
          </w:p>
        </w:tc>
        <w:tc>
          <w:tcPr>
            <w:tcW w:w="3810" w:type="dxa"/>
            <w:shd w:val="clear" w:color="auto" w:fill="auto"/>
            <w:tcMar>
              <w:top w:w="100" w:type="dxa"/>
              <w:left w:w="100" w:type="dxa"/>
              <w:bottom w:w="100" w:type="dxa"/>
              <w:right w:w="100" w:type="dxa"/>
            </w:tcMar>
          </w:tcPr>
          <w:p w14:paraId="2C9FC26E" w14:textId="77777777" w:rsidR="00584776" w:rsidRDefault="004C6691">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Improving the institutional effectiveness at the unit-level and in th</w:t>
            </w:r>
            <w:r>
              <w:rPr>
                <w:rFonts w:ascii="Calibri" w:eastAsia="Calibri" w:hAnsi="Calibri" w:cs="Calibri"/>
                <w:sz w:val="20"/>
                <w:szCs w:val="20"/>
              </w:rPr>
              <w:t>e College overall through evaluation and integrated planning to better support student learning and student achievement.</w:t>
            </w:r>
          </w:p>
        </w:tc>
        <w:tc>
          <w:tcPr>
            <w:tcW w:w="4920" w:type="dxa"/>
            <w:shd w:val="clear" w:color="auto" w:fill="auto"/>
            <w:tcMar>
              <w:top w:w="100" w:type="dxa"/>
              <w:left w:w="100" w:type="dxa"/>
              <w:bottom w:w="100" w:type="dxa"/>
              <w:right w:w="100" w:type="dxa"/>
            </w:tcMar>
          </w:tcPr>
          <w:p w14:paraId="2C9FC26F"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 xml:space="preserve">Develop and maintain a multi-year master calendar for college-wide planning and evaluation, in collaboration with other committees </w:t>
            </w:r>
          </w:p>
          <w:p w14:paraId="2C9FC270"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Recalibrate institution-set standards and stretch goals with an equity emphasis and share broadly</w:t>
            </w:r>
          </w:p>
          <w:p w14:paraId="2C9FC271"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 xml:space="preserve">Review data on </w:t>
            </w:r>
            <w:proofErr w:type="gramStart"/>
            <w:r>
              <w:rPr>
                <w:rFonts w:ascii="Calibri" w:eastAsia="Calibri" w:hAnsi="Calibri" w:cs="Calibri"/>
                <w:sz w:val="20"/>
                <w:szCs w:val="20"/>
              </w:rPr>
              <w:t>College</w:t>
            </w:r>
            <w:proofErr w:type="gramEnd"/>
            <w:r>
              <w:rPr>
                <w:rFonts w:ascii="Calibri" w:eastAsia="Calibri" w:hAnsi="Calibri" w:cs="Calibri"/>
                <w:sz w:val="20"/>
                <w:szCs w:val="20"/>
              </w:rPr>
              <w:t xml:space="preserve"> and</w:t>
            </w:r>
            <w:r>
              <w:rPr>
                <w:rFonts w:ascii="Calibri" w:eastAsia="Calibri" w:hAnsi="Calibri" w:cs="Calibri"/>
                <w:sz w:val="20"/>
                <w:szCs w:val="20"/>
              </w:rPr>
              <w:t xml:space="preserve"> unit-level effectiveness and share findings</w:t>
            </w:r>
          </w:p>
          <w:p w14:paraId="2C9FC272"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Continue to encourage all college-wide plans to explicate the plans in relation to Education Master Plan goals, including the goal of improving communication</w:t>
            </w:r>
          </w:p>
          <w:p w14:paraId="2C9FC273"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Develop and institutionalize a combined calendar for annual planning and budget development</w:t>
            </w:r>
          </w:p>
          <w:p w14:paraId="2C9FC274" w14:textId="77777777" w:rsidR="00584776" w:rsidRDefault="00584776">
            <w:pPr>
              <w:widowControl w:val="0"/>
              <w:pBdr>
                <w:top w:val="nil"/>
                <w:left w:val="nil"/>
                <w:bottom w:val="nil"/>
                <w:right w:val="nil"/>
                <w:between w:val="nil"/>
              </w:pBdr>
              <w:spacing w:line="240" w:lineRule="auto"/>
              <w:ind w:left="720"/>
              <w:rPr>
                <w:rFonts w:ascii="Calibri" w:eastAsia="Calibri" w:hAnsi="Calibri" w:cs="Calibri"/>
                <w:sz w:val="20"/>
                <w:szCs w:val="20"/>
              </w:rPr>
            </w:pPr>
          </w:p>
        </w:tc>
      </w:tr>
      <w:tr w:rsidR="00584776" w14:paraId="2C9FC27C" w14:textId="77777777" w:rsidTr="004C6691">
        <w:trPr>
          <w:trHeight w:val="2535"/>
        </w:trPr>
        <w:tc>
          <w:tcPr>
            <w:tcW w:w="2676" w:type="dxa"/>
            <w:shd w:val="clear" w:color="auto" w:fill="auto"/>
            <w:tcMar>
              <w:top w:w="100" w:type="dxa"/>
              <w:left w:w="100" w:type="dxa"/>
              <w:bottom w:w="100" w:type="dxa"/>
              <w:right w:w="100" w:type="dxa"/>
            </w:tcMar>
          </w:tcPr>
          <w:p w14:paraId="2C9FC276" w14:textId="77777777" w:rsidR="00584776" w:rsidRDefault="004C6691">
            <w:pPr>
              <w:widowControl w:val="0"/>
              <w:spacing w:line="240" w:lineRule="auto"/>
            </w:pPr>
            <w:hyperlink r:id="rId14">
              <w:r>
                <w:rPr>
                  <w:color w:val="1155CC"/>
                  <w:u w:val="single"/>
                </w:rPr>
                <w:t>Technology</w:t>
              </w:r>
            </w:hyperlink>
          </w:p>
        </w:tc>
        <w:tc>
          <w:tcPr>
            <w:tcW w:w="2706" w:type="dxa"/>
            <w:shd w:val="clear" w:color="auto" w:fill="auto"/>
            <w:tcMar>
              <w:top w:w="100" w:type="dxa"/>
              <w:left w:w="100" w:type="dxa"/>
              <w:bottom w:w="100" w:type="dxa"/>
              <w:right w:w="100" w:type="dxa"/>
            </w:tcMar>
          </w:tcPr>
          <w:p w14:paraId="2C9FC277" w14:textId="77777777" w:rsidR="00584776" w:rsidRDefault="004C6691">
            <w:pPr>
              <w:widowControl w:val="0"/>
              <w:spacing w:line="240" w:lineRule="auto"/>
              <w:rPr>
                <w:rFonts w:ascii="Calibri" w:eastAsia="Calibri" w:hAnsi="Calibri" w:cs="Calibri"/>
                <w:sz w:val="20"/>
                <w:szCs w:val="20"/>
              </w:rPr>
            </w:pPr>
            <w:r>
              <w:rPr>
                <w:rFonts w:ascii="Calibri" w:eastAsia="Calibri" w:hAnsi="Calibri" w:cs="Calibri"/>
                <w:sz w:val="20"/>
                <w:szCs w:val="20"/>
              </w:rPr>
              <w:t>Co-Chairs elected annually</w:t>
            </w:r>
          </w:p>
        </w:tc>
        <w:tc>
          <w:tcPr>
            <w:tcW w:w="3810" w:type="dxa"/>
            <w:shd w:val="clear" w:color="auto" w:fill="auto"/>
            <w:tcMar>
              <w:top w:w="100" w:type="dxa"/>
              <w:left w:w="100" w:type="dxa"/>
              <w:bottom w:w="100" w:type="dxa"/>
              <w:right w:w="100" w:type="dxa"/>
            </w:tcMar>
          </w:tcPr>
          <w:p w14:paraId="2C9FC278" w14:textId="77777777" w:rsidR="00584776" w:rsidRDefault="004C6691">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To promote the strategic and efficient use of technology, both hardware and software, to support student learning. </w:t>
            </w:r>
          </w:p>
        </w:tc>
        <w:tc>
          <w:tcPr>
            <w:tcW w:w="4920" w:type="dxa"/>
            <w:shd w:val="clear" w:color="auto" w:fill="auto"/>
            <w:tcMar>
              <w:top w:w="100" w:type="dxa"/>
              <w:left w:w="100" w:type="dxa"/>
              <w:bottom w:w="100" w:type="dxa"/>
              <w:right w:w="100" w:type="dxa"/>
            </w:tcMar>
          </w:tcPr>
          <w:p w14:paraId="2C9FC279"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 xml:space="preserve">Develop a criteria </w:t>
            </w:r>
            <w:r>
              <w:rPr>
                <w:rFonts w:ascii="Calibri" w:eastAsia="Calibri" w:hAnsi="Calibri" w:cs="Calibri"/>
                <w:sz w:val="20"/>
                <w:szCs w:val="20"/>
              </w:rPr>
              <w:t xml:space="preserve">document and decision flowchart for selection of technology based on accessibility, privacy, compatibility with existing systems, cost, training, sustainability, longevity, etc.  </w:t>
            </w:r>
          </w:p>
          <w:p w14:paraId="2C9FC27A"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 xml:space="preserve">Update the College’s Technology Plan. </w:t>
            </w:r>
          </w:p>
          <w:p w14:paraId="2C9FC27B" w14:textId="77777777" w:rsidR="00584776" w:rsidRDefault="004C6691">
            <w:pPr>
              <w:widowControl w:val="0"/>
              <w:numPr>
                <w:ilvl w:val="0"/>
                <w:numId w:val="1"/>
              </w:numPr>
              <w:pBdr>
                <w:top w:val="nil"/>
                <w:left w:val="nil"/>
                <w:bottom w:val="nil"/>
                <w:right w:val="nil"/>
                <w:between w:val="nil"/>
              </w:pBdr>
              <w:spacing w:line="240" w:lineRule="auto"/>
              <w:ind w:left="450"/>
              <w:rPr>
                <w:rFonts w:ascii="Calibri" w:eastAsia="Calibri" w:hAnsi="Calibri" w:cs="Calibri"/>
                <w:sz w:val="20"/>
                <w:szCs w:val="20"/>
              </w:rPr>
            </w:pPr>
            <w:r>
              <w:rPr>
                <w:rFonts w:ascii="Calibri" w:eastAsia="Calibri" w:hAnsi="Calibri" w:cs="Calibri"/>
                <w:sz w:val="20"/>
                <w:szCs w:val="20"/>
              </w:rPr>
              <w:t>Recommend an annual calendar of stand</w:t>
            </w:r>
            <w:r>
              <w:rPr>
                <w:rFonts w:ascii="Calibri" w:eastAsia="Calibri" w:hAnsi="Calibri" w:cs="Calibri"/>
                <w:sz w:val="20"/>
                <w:szCs w:val="20"/>
              </w:rPr>
              <w:t>ardized technology maintenance across the College</w:t>
            </w:r>
          </w:p>
        </w:tc>
      </w:tr>
    </w:tbl>
    <w:p w14:paraId="2C9FC27D" w14:textId="77777777" w:rsidR="00584776" w:rsidRDefault="00584776">
      <w:pPr>
        <w:rPr>
          <w:sz w:val="18"/>
          <w:szCs w:val="18"/>
        </w:rPr>
      </w:pPr>
    </w:p>
    <w:p w14:paraId="2C9FC27E" w14:textId="77777777" w:rsidR="00584776" w:rsidRDefault="00584776"/>
    <w:sectPr w:rsidR="00584776">
      <w:pgSz w:w="15840" w:h="12240" w:orient="landscape"/>
      <w:pgMar w:top="648" w:right="863" w:bottom="576" w:left="86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09CD" w14:textId="77777777" w:rsidR="00000000" w:rsidRDefault="004C6691">
      <w:pPr>
        <w:spacing w:line="240" w:lineRule="auto"/>
      </w:pPr>
      <w:r>
        <w:separator/>
      </w:r>
    </w:p>
  </w:endnote>
  <w:endnote w:type="continuationSeparator" w:id="0">
    <w:p w14:paraId="0585402D" w14:textId="77777777" w:rsidR="00000000" w:rsidRDefault="004C6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64EF" w14:textId="77777777" w:rsidR="00000000" w:rsidRDefault="004C6691">
      <w:pPr>
        <w:spacing w:line="240" w:lineRule="auto"/>
      </w:pPr>
      <w:r>
        <w:separator/>
      </w:r>
    </w:p>
  </w:footnote>
  <w:footnote w:type="continuationSeparator" w:id="0">
    <w:p w14:paraId="22E4F4A1" w14:textId="77777777" w:rsidR="00000000" w:rsidRDefault="004C6691">
      <w:pPr>
        <w:spacing w:line="240" w:lineRule="auto"/>
      </w:pPr>
      <w:r>
        <w:continuationSeparator/>
      </w:r>
    </w:p>
  </w:footnote>
  <w:footnote w:id="1">
    <w:p w14:paraId="2C9FC27F" w14:textId="77777777" w:rsidR="00584776" w:rsidRDefault="004C6691">
      <w:pPr>
        <w:spacing w:line="240" w:lineRule="auto"/>
        <w:rPr>
          <w:sz w:val="20"/>
          <w:szCs w:val="20"/>
        </w:rPr>
      </w:pPr>
      <w:r>
        <w:rPr>
          <w:vertAlign w:val="superscript"/>
        </w:rPr>
        <w:footnoteRef/>
      </w:r>
      <w:r>
        <w:rPr>
          <w:sz w:val="20"/>
          <w:szCs w:val="20"/>
        </w:rPr>
        <w:t xml:space="preserve"> </w:t>
      </w:r>
      <w:r>
        <w:rPr>
          <w:sz w:val="18"/>
          <w:szCs w:val="18"/>
        </w:rPr>
        <w:t xml:space="preserve">Supporting Documentation:  PCG Agenda from </w:t>
      </w:r>
      <w:hyperlink r:id="rId1">
        <w:r>
          <w:rPr>
            <w:color w:val="1155CC"/>
            <w:sz w:val="18"/>
            <w:szCs w:val="18"/>
            <w:u w:val="single"/>
          </w:rPr>
          <w:t>August 19, 2021</w:t>
        </w:r>
      </w:hyperlink>
      <w:r>
        <w:rPr>
          <w:sz w:val="18"/>
          <w:szCs w:val="18"/>
        </w:rPr>
        <w:t xml:space="preserve">, including </w:t>
      </w:r>
      <w:hyperlink r:id="rId2" w:anchor="slide=id.ge94cfac156_0_64">
        <w:r>
          <w:rPr>
            <w:color w:val="1155CC"/>
            <w:sz w:val="18"/>
            <w:szCs w:val="18"/>
            <w:u w:val="single"/>
          </w:rPr>
          <w:t>Participatory Governance Evaluation Status Update</w:t>
        </w:r>
      </w:hyperlink>
      <w:r>
        <w:rPr>
          <w:sz w:val="18"/>
          <w:szCs w:val="18"/>
        </w:rPr>
        <w:t>.</w:t>
      </w:r>
    </w:p>
  </w:footnote>
  <w:footnote w:id="2">
    <w:p w14:paraId="2C9FC280" w14:textId="77777777" w:rsidR="00584776" w:rsidRDefault="004C6691">
      <w:pPr>
        <w:spacing w:line="240" w:lineRule="auto"/>
        <w:rPr>
          <w:sz w:val="20"/>
          <w:szCs w:val="20"/>
        </w:rPr>
      </w:pPr>
      <w:r>
        <w:rPr>
          <w:vertAlign w:val="superscript"/>
        </w:rPr>
        <w:footnoteRef/>
      </w:r>
      <w:r>
        <w:rPr>
          <w:sz w:val="20"/>
          <w:szCs w:val="20"/>
        </w:rPr>
        <w:t xml:space="preserve"> </w:t>
      </w:r>
      <w:r>
        <w:rPr>
          <w:sz w:val="18"/>
          <w:szCs w:val="18"/>
        </w:rPr>
        <w:t xml:space="preserve">Prior year: </w:t>
      </w:r>
      <w:hyperlink r:id="rId3">
        <w:r>
          <w:rPr>
            <w:color w:val="1155CC"/>
            <w:sz w:val="18"/>
            <w:szCs w:val="18"/>
            <w:u w:val="single"/>
          </w:rPr>
          <w:t>PGC and Standing Committees - Objectives for 2020-2021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6AA"/>
    <w:multiLevelType w:val="multilevel"/>
    <w:tmpl w:val="8F345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323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76"/>
    <w:rsid w:val="004C6691"/>
    <w:rsid w:val="00584776"/>
    <w:rsid w:val="00FA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C22B"/>
  <w15:docId w15:val="{7651F347-A12A-44F9-B33B-FAC978D9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chive.ccsf.edu/PGC/Budget/022018BudgetCommitteeDescriptionPurpose.pdf" TargetMode="External"/><Relationship Id="rId13" Type="http://schemas.openxmlformats.org/officeDocument/2006/relationships/hyperlink" Target="http://archive.ccsf.edu/dam/Organizational_Assets/About_CCSF/Admin/PGC_Planning/PlanningCommitteeDescriptionUpdate_Dec2015.pdf" TargetMode="External"/><Relationship Id="rId3" Type="http://schemas.openxmlformats.org/officeDocument/2006/relationships/settings" Target="settings.xml"/><Relationship Id="rId7" Type="http://schemas.openxmlformats.org/officeDocument/2006/relationships/hyperlink" Target="http://archive.ccsf.edu/PGC/Accreditation/COMMITTEE%20DESCRIPTION%20AND%20PURPOSEAccreditation" TargetMode="External"/><Relationship Id="rId12" Type="http://schemas.openxmlformats.org/officeDocument/2006/relationships/hyperlink" Target="http://archive.ccsf.edu/PGC/Health_and_Safety/Committee_Charg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chive.ccsf.edu/dam/Organizational_Assets/Department/CPPC/DescriptionPurpose/FacCmte%20PurposeDescription_2018.100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rchive.ccsf.edu/PGC/Enrollment_Management/COMMITTEE%20DESCRIPTION%20AND%20PURPOSE%20Enrollment%20Management%20Committee%20011713.pdf" TargetMode="External"/><Relationship Id="rId4" Type="http://schemas.openxmlformats.org/officeDocument/2006/relationships/webSettings" Target="webSettings.xml"/><Relationship Id="rId9" Type="http://schemas.openxmlformats.org/officeDocument/2006/relationships/hyperlink" Target="http://archive.ccsf.edu/PGC/Diversity/COMMITTEE%20DESCRIPTION%20AND%20PURPOSE%20Diversity%20Committee%20Template%20011713.pdf" TargetMode="External"/><Relationship Id="rId14" Type="http://schemas.openxmlformats.org/officeDocument/2006/relationships/hyperlink" Target="http://archive.ccsf.edu/PGC/ApprovedTechnologyCommittee11261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s.google.com/document/d/1IKBXHrtHNDo-vCgqyKU3GR2jZSodXta_Wboqpbu_vsY/edit?usp=sharing" TargetMode="External"/><Relationship Id="rId2" Type="http://schemas.openxmlformats.org/officeDocument/2006/relationships/hyperlink" Target="https://docs.google.com/presentation/d/e/2PACX-1vRzwm6sLIGmKgX9KdunXYYC-7Jbdl6J95_HkSYlLzL6tUrG4GU_sFzTYWpja8vud1XBi-RWabclU_LZ/pub?start=false&amp;loop=false&amp;delayms=3000" TargetMode="External"/><Relationship Id="rId1" Type="http://schemas.openxmlformats.org/officeDocument/2006/relationships/hyperlink" Target="https://drive.google.com/file/d/1yLPWTzZP7xCN1g9__fIo_nZqP1BuyW0V/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 O'Donnell</cp:lastModifiedBy>
  <cp:revision>3</cp:revision>
  <dcterms:created xsi:type="dcterms:W3CDTF">2022-10-17T16:15:00Z</dcterms:created>
  <dcterms:modified xsi:type="dcterms:W3CDTF">2022-10-17T16:16:00Z</dcterms:modified>
</cp:coreProperties>
</file>